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8C6" w:rsidRDefault="00B068C6"/>
    <w:p w:rsidR="0060021A" w:rsidRDefault="0060021A"/>
    <w:p w:rsidR="0060021A" w:rsidRDefault="0060021A"/>
    <w:p w:rsidR="0060021A" w:rsidRDefault="0060021A"/>
    <w:p w:rsidR="0060021A" w:rsidRDefault="0060021A" w:rsidP="0060021A">
      <w:pPr>
        <w:spacing w:line="480" w:lineRule="auto"/>
      </w:pPr>
      <w:r>
        <w:tab/>
      </w:r>
      <w:r>
        <w:tab/>
      </w:r>
      <w:r>
        <w:tab/>
      </w:r>
      <w:r>
        <w:tab/>
      </w:r>
      <w:r>
        <w:tab/>
      </w:r>
    </w:p>
    <w:p w:rsidR="0060021A" w:rsidRDefault="0060021A" w:rsidP="0060021A">
      <w:pPr>
        <w:spacing w:line="480" w:lineRule="auto"/>
        <w:rPr>
          <w:sz w:val="24"/>
          <w:szCs w:val="24"/>
        </w:rPr>
      </w:pPr>
    </w:p>
    <w:p w:rsidR="0060021A" w:rsidRPr="0060021A" w:rsidRDefault="0060021A" w:rsidP="0060021A">
      <w:pPr>
        <w:spacing w:line="480" w:lineRule="auto"/>
        <w:jc w:val="center"/>
        <w:rPr>
          <w:rFonts w:ascii="Times New Roman" w:hAnsi="Times New Roman" w:cs="Times New Roman"/>
          <w:sz w:val="24"/>
          <w:szCs w:val="24"/>
        </w:rPr>
      </w:pPr>
      <w:r w:rsidRPr="0060021A">
        <w:rPr>
          <w:rFonts w:ascii="Times New Roman" w:hAnsi="Times New Roman" w:cs="Times New Roman"/>
          <w:sz w:val="24"/>
          <w:szCs w:val="24"/>
        </w:rPr>
        <w:t>Non Profits</w:t>
      </w:r>
      <w:r w:rsidR="005104C9">
        <w:rPr>
          <w:rFonts w:ascii="Times New Roman" w:hAnsi="Times New Roman" w:cs="Times New Roman"/>
          <w:sz w:val="24"/>
          <w:szCs w:val="24"/>
        </w:rPr>
        <w:t xml:space="preserve"> Incentives</w:t>
      </w:r>
    </w:p>
    <w:p w:rsidR="0060021A" w:rsidRPr="0060021A" w:rsidRDefault="0060021A" w:rsidP="0060021A">
      <w:pPr>
        <w:spacing w:line="480" w:lineRule="auto"/>
        <w:jc w:val="center"/>
        <w:rPr>
          <w:rFonts w:ascii="Times New Roman" w:hAnsi="Times New Roman" w:cs="Times New Roman"/>
          <w:sz w:val="24"/>
          <w:szCs w:val="24"/>
        </w:rPr>
      </w:pPr>
      <w:r w:rsidRPr="0060021A">
        <w:rPr>
          <w:rFonts w:ascii="Times New Roman" w:hAnsi="Times New Roman" w:cs="Times New Roman"/>
          <w:sz w:val="24"/>
          <w:szCs w:val="24"/>
        </w:rPr>
        <w:t>Student Name</w:t>
      </w:r>
    </w:p>
    <w:p w:rsidR="0060021A" w:rsidRPr="0060021A" w:rsidRDefault="0060021A" w:rsidP="0060021A">
      <w:pPr>
        <w:spacing w:line="480" w:lineRule="auto"/>
        <w:jc w:val="center"/>
        <w:rPr>
          <w:rFonts w:ascii="Times New Roman" w:hAnsi="Times New Roman" w:cs="Times New Roman"/>
          <w:sz w:val="24"/>
          <w:szCs w:val="24"/>
        </w:rPr>
      </w:pPr>
      <w:r w:rsidRPr="0060021A">
        <w:rPr>
          <w:rFonts w:ascii="Times New Roman" w:hAnsi="Times New Roman" w:cs="Times New Roman"/>
          <w:sz w:val="24"/>
          <w:szCs w:val="24"/>
        </w:rPr>
        <w:t>Institution affiliation</w:t>
      </w:r>
    </w:p>
    <w:p w:rsidR="0060021A" w:rsidRPr="0060021A" w:rsidRDefault="0060021A" w:rsidP="0060021A">
      <w:pPr>
        <w:spacing w:line="480" w:lineRule="auto"/>
        <w:jc w:val="center"/>
        <w:rPr>
          <w:rFonts w:ascii="Times New Roman" w:hAnsi="Times New Roman" w:cs="Times New Roman"/>
          <w:sz w:val="24"/>
          <w:szCs w:val="24"/>
        </w:rPr>
      </w:pPr>
      <w:r w:rsidRPr="0060021A">
        <w:rPr>
          <w:rFonts w:ascii="Times New Roman" w:hAnsi="Times New Roman" w:cs="Times New Roman"/>
          <w:sz w:val="24"/>
          <w:szCs w:val="24"/>
        </w:rPr>
        <w:t>Instructor’s name</w:t>
      </w:r>
    </w:p>
    <w:p w:rsidR="0060021A" w:rsidRPr="0060021A" w:rsidRDefault="0060021A" w:rsidP="0060021A">
      <w:pPr>
        <w:spacing w:line="480" w:lineRule="auto"/>
        <w:jc w:val="center"/>
        <w:rPr>
          <w:rFonts w:ascii="Times New Roman" w:hAnsi="Times New Roman" w:cs="Times New Roman"/>
          <w:sz w:val="24"/>
          <w:szCs w:val="24"/>
        </w:rPr>
      </w:pPr>
      <w:r w:rsidRPr="0060021A">
        <w:rPr>
          <w:rFonts w:ascii="Times New Roman" w:hAnsi="Times New Roman" w:cs="Times New Roman"/>
          <w:sz w:val="24"/>
          <w:szCs w:val="24"/>
        </w:rPr>
        <w:t>Course</w:t>
      </w:r>
    </w:p>
    <w:p w:rsidR="0060021A" w:rsidRPr="0060021A" w:rsidRDefault="0060021A" w:rsidP="0060021A">
      <w:pPr>
        <w:spacing w:line="480" w:lineRule="auto"/>
        <w:jc w:val="center"/>
        <w:rPr>
          <w:rFonts w:ascii="Times New Roman" w:hAnsi="Times New Roman" w:cs="Times New Roman"/>
          <w:sz w:val="24"/>
          <w:szCs w:val="24"/>
        </w:rPr>
      </w:pPr>
      <w:r w:rsidRPr="0060021A">
        <w:rPr>
          <w:rFonts w:ascii="Times New Roman" w:hAnsi="Times New Roman" w:cs="Times New Roman"/>
          <w:sz w:val="24"/>
          <w:szCs w:val="24"/>
        </w:rPr>
        <w:t>Date</w:t>
      </w:r>
    </w:p>
    <w:p w:rsidR="0060021A" w:rsidRDefault="0060021A" w:rsidP="0060021A">
      <w:pPr>
        <w:spacing w:line="480" w:lineRule="auto"/>
        <w:jc w:val="center"/>
        <w:rPr>
          <w:sz w:val="24"/>
          <w:szCs w:val="24"/>
        </w:rPr>
      </w:pPr>
    </w:p>
    <w:p w:rsidR="0060021A" w:rsidRDefault="0060021A" w:rsidP="0060021A">
      <w:pPr>
        <w:spacing w:line="480" w:lineRule="auto"/>
        <w:jc w:val="center"/>
        <w:rPr>
          <w:sz w:val="24"/>
          <w:szCs w:val="24"/>
        </w:rPr>
      </w:pPr>
    </w:p>
    <w:p w:rsidR="0060021A" w:rsidRDefault="00B068C6">
      <w:r>
        <w:br w:type="page"/>
      </w:r>
    </w:p>
    <w:p w:rsidR="002C3B0A" w:rsidRPr="002C3B0A" w:rsidRDefault="002C3B0A" w:rsidP="005104C9">
      <w:pPr>
        <w:spacing w:line="480" w:lineRule="auto"/>
        <w:rPr>
          <w:rFonts w:ascii="Times New Roman" w:hAnsi="Times New Roman" w:cs="Times New Roman"/>
          <w:sz w:val="24"/>
          <w:szCs w:val="24"/>
        </w:rPr>
      </w:pPr>
      <w:r w:rsidRPr="002C3B0A">
        <w:rPr>
          <w:rFonts w:ascii="Times New Roman" w:hAnsi="Times New Roman" w:cs="Times New Roman"/>
          <w:sz w:val="24"/>
          <w:szCs w:val="24"/>
        </w:rPr>
        <w:lastRenderedPageBreak/>
        <w:t>There is a belief that nonprofits cannot have a surplus at the end of the year, which is not the case since most nonprofits end their fiscal year with a surplus. The profits are earned when the revenues exceed the organization's expenses in that particular year, which is very beneficial. The surplus profits made help the nonprofit case of any drop of donations, unforeseen property damage or any other expense that may arise. Since the nonprofit's surplus cannot go back to the board, they are obligated to reinvest back to the organization by using some of the money to incentivize its people to produce more social services</w:t>
      </w:r>
      <w:r w:rsidR="001C6773" w:rsidRPr="001C6773">
        <w:rPr>
          <w:rFonts w:ascii="Times New Roman" w:hAnsi="Times New Roman" w:cs="Times New Roman"/>
          <w:color w:val="222222"/>
          <w:sz w:val="24"/>
          <w:szCs w:val="24"/>
          <w:shd w:val="clear" w:color="auto" w:fill="FFFFFF"/>
        </w:rPr>
        <w:t xml:space="preserve"> </w:t>
      </w:r>
      <w:r w:rsidR="001C6773">
        <w:rPr>
          <w:rFonts w:ascii="Times New Roman" w:hAnsi="Times New Roman" w:cs="Times New Roman"/>
          <w:color w:val="222222"/>
          <w:sz w:val="24"/>
          <w:szCs w:val="24"/>
          <w:shd w:val="clear" w:color="auto" w:fill="FFFFFF"/>
        </w:rPr>
        <w:t>(</w:t>
      </w:r>
      <w:r w:rsidR="001C6773" w:rsidRPr="005104C9">
        <w:rPr>
          <w:rFonts w:ascii="Times New Roman" w:hAnsi="Times New Roman" w:cs="Times New Roman"/>
          <w:color w:val="222222"/>
          <w:sz w:val="24"/>
          <w:szCs w:val="24"/>
          <w:shd w:val="clear" w:color="auto" w:fill="FFFFFF"/>
        </w:rPr>
        <w:t>Brickley</w:t>
      </w:r>
      <w:r w:rsidR="001C6773">
        <w:rPr>
          <w:rFonts w:ascii="Times New Roman" w:hAnsi="Times New Roman" w:cs="Times New Roman"/>
          <w:color w:val="222222"/>
          <w:sz w:val="24"/>
          <w:szCs w:val="24"/>
          <w:shd w:val="clear" w:color="auto" w:fill="FFFFFF"/>
        </w:rPr>
        <w:t xml:space="preserve"> et al, </w:t>
      </w:r>
      <w:r w:rsidR="001C6773" w:rsidRPr="005104C9">
        <w:rPr>
          <w:rFonts w:ascii="Times New Roman" w:hAnsi="Times New Roman" w:cs="Times New Roman"/>
          <w:color w:val="222222"/>
          <w:sz w:val="24"/>
          <w:szCs w:val="24"/>
          <w:shd w:val="clear" w:color="auto" w:fill="FFFFFF"/>
        </w:rPr>
        <w:t>2002).</w:t>
      </w:r>
    </w:p>
    <w:p w:rsidR="002C3B0A" w:rsidRPr="002C3B0A" w:rsidRDefault="002C3B0A" w:rsidP="005104C9">
      <w:pPr>
        <w:spacing w:line="480" w:lineRule="auto"/>
        <w:rPr>
          <w:rFonts w:ascii="Times New Roman" w:hAnsi="Times New Roman" w:cs="Times New Roman"/>
          <w:sz w:val="24"/>
          <w:szCs w:val="24"/>
        </w:rPr>
      </w:pPr>
      <w:r w:rsidRPr="002C3B0A">
        <w:rPr>
          <w:rFonts w:ascii="Times New Roman" w:hAnsi="Times New Roman" w:cs="Times New Roman"/>
          <w:sz w:val="24"/>
          <w:szCs w:val="24"/>
        </w:rPr>
        <w:t>Effective donor incentives inspire people to give more than usual and be engaged for long-term relationships with the organization. The nonprofits must not use money directly to incentivize people. Still, they can adapt activities like charity auctions where donors can bid for various items and gifts. Their availability will influence more donations and good relations, which will be of much significance to the nonprofits. However, it is prudent to keep the cost as low as possible where the value of the donor incentive cannot be more than 2% of the donation itself.</w:t>
      </w:r>
    </w:p>
    <w:p w:rsidR="002C3B0A" w:rsidRPr="002C3B0A" w:rsidRDefault="002C3B0A" w:rsidP="005104C9">
      <w:pPr>
        <w:spacing w:line="480" w:lineRule="auto"/>
        <w:rPr>
          <w:rFonts w:ascii="Times New Roman" w:hAnsi="Times New Roman" w:cs="Times New Roman"/>
          <w:sz w:val="24"/>
          <w:szCs w:val="24"/>
        </w:rPr>
      </w:pPr>
      <w:r w:rsidRPr="002C3B0A">
        <w:rPr>
          <w:rFonts w:ascii="Times New Roman" w:hAnsi="Times New Roman" w:cs="Times New Roman"/>
          <w:sz w:val="24"/>
          <w:szCs w:val="24"/>
        </w:rPr>
        <w:t>Different nonprofits organization acquires donations from different ways. Therefore, there is a need to know your audience and understand them. Some donors do not accept gifts or rewards in exchange for their donations. But you can find a way to inspire them to give more. However, some nonprofits example, Bill &amp; Melinda Gates Foundation, make tremendous money in every fiscal year with over $50 billion set to charitable causes by his co. Founder Bill Gates</w:t>
      </w:r>
      <w:r w:rsidR="00C90E97" w:rsidRPr="00C90E97">
        <w:rPr>
          <w:rFonts w:ascii="Times New Roman" w:hAnsi="Times New Roman" w:cs="Times New Roman"/>
          <w:color w:val="222222"/>
          <w:sz w:val="24"/>
          <w:szCs w:val="24"/>
          <w:shd w:val="clear" w:color="auto" w:fill="FFFFFF"/>
        </w:rPr>
        <w:t xml:space="preserve"> </w:t>
      </w:r>
      <w:r w:rsidR="00C90E97">
        <w:rPr>
          <w:rFonts w:ascii="Times New Roman" w:hAnsi="Times New Roman" w:cs="Times New Roman"/>
          <w:color w:val="222222"/>
          <w:sz w:val="24"/>
          <w:szCs w:val="24"/>
          <w:shd w:val="clear" w:color="auto" w:fill="FFFFFF"/>
        </w:rPr>
        <w:t xml:space="preserve">(Ortmann et al, </w:t>
      </w:r>
      <w:r w:rsidR="00C90E97" w:rsidRPr="005104C9">
        <w:rPr>
          <w:rFonts w:ascii="Times New Roman" w:hAnsi="Times New Roman" w:cs="Times New Roman"/>
          <w:color w:val="222222"/>
          <w:sz w:val="24"/>
          <w:szCs w:val="24"/>
          <w:shd w:val="clear" w:color="auto" w:fill="FFFFFF"/>
        </w:rPr>
        <w:t>2003)</w:t>
      </w:r>
      <w:r w:rsidRPr="002C3B0A">
        <w:rPr>
          <w:rFonts w:ascii="Times New Roman" w:hAnsi="Times New Roman" w:cs="Times New Roman"/>
          <w:sz w:val="24"/>
          <w:szCs w:val="24"/>
        </w:rPr>
        <w:t>. The amount is much more than other fast-growing businesses like Niantic, with a net worth of $4 billion. This shows that nonprofits stand a significant chance of making more money to produce more social services if a sufficient donor incentive is initiated.</w:t>
      </w:r>
    </w:p>
    <w:p w:rsidR="002C3B0A" w:rsidRPr="002C3B0A" w:rsidRDefault="002C3B0A" w:rsidP="005104C9">
      <w:pPr>
        <w:spacing w:line="480" w:lineRule="auto"/>
        <w:rPr>
          <w:rFonts w:ascii="Times New Roman" w:hAnsi="Times New Roman" w:cs="Times New Roman"/>
          <w:sz w:val="24"/>
          <w:szCs w:val="24"/>
        </w:rPr>
      </w:pPr>
      <w:r w:rsidRPr="002C3B0A">
        <w:rPr>
          <w:rFonts w:ascii="Times New Roman" w:hAnsi="Times New Roman" w:cs="Times New Roman"/>
          <w:sz w:val="24"/>
          <w:szCs w:val="24"/>
        </w:rPr>
        <w:lastRenderedPageBreak/>
        <w:t>The donor's time and finances are precious. To capture their attention and their willingness to fund the organization, they put some factors into consideration, like; how the organization values its supporters, staff and how they use its donations to implement its goal. That is why the nonprofits will find ways to incentivize donors to reward them or gift them, but as a gesture to motivate and entice more funds from the donors.</w:t>
      </w:r>
    </w:p>
    <w:p w:rsidR="002C3B0A" w:rsidRPr="002C3B0A" w:rsidRDefault="002C3B0A" w:rsidP="005104C9">
      <w:pPr>
        <w:spacing w:line="480" w:lineRule="auto"/>
        <w:rPr>
          <w:rFonts w:ascii="Times New Roman" w:hAnsi="Times New Roman" w:cs="Times New Roman"/>
          <w:sz w:val="24"/>
          <w:szCs w:val="24"/>
        </w:rPr>
      </w:pPr>
      <w:r w:rsidRPr="002C3B0A">
        <w:rPr>
          <w:rFonts w:ascii="Times New Roman" w:hAnsi="Times New Roman" w:cs="Times New Roman"/>
          <w:sz w:val="24"/>
          <w:szCs w:val="24"/>
        </w:rPr>
        <w:t xml:space="preserve">On the contrary, the use of money to incentivize people may lead to the nonprofits organization diverting from their mission since people will be giving in exchange for a reward, which is against the nonprofits organization's ethical standards. But not all recognition gifts are cost-effective; nonprofits may find a way to incentive their donors in a way that they connect with the mission and their goals like recognition, unusual access, among others. </w:t>
      </w:r>
    </w:p>
    <w:p w:rsidR="002C3B0A" w:rsidRPr="002C3B0A" w:rsidRDefault="002C3B0A" w:rsidP="005104C9">
      <w:pPr>
        <w:spacing w:line="480" w:lineRule="auto"/>
        <w:rPr>
          <w:rFonts w:ascii="Times New Roman" w:hAnsi="Times New Roman" w:cs="Times New Roman"/>
          <w:sz w:val="24"/>
          <w:szCs w:val="24"/>
        </w:rPr>
      </w:pPr>
      <w:r w:rsidRPr="002C3B0A">
        <w:rPr>
          <w:rFonts w:ascii="Times New Roman" w:hAnsi="Times New Roman" w:cs="Times New Roman"/>
          <w:sz w:val="24"/>
          <w:szCs w:val="24"/>
        </w:rPr>
        <w:t xml:space="preserve">To conclude, the presence of incentives does not need to negate the idea of giving; instead, it should raise awareness that </w:t>
      </w:r>
      <w:r w:rsidR="005104C9" w:rsidRPr="002C3B0A">
        <w:rPr>
          <w:rFonts w:ascii="Times New Roman" w:hAnsi="Times New Roman" w:cs="Times New Roman"/>
          <w:sz w:val="24"/>
          <w:szCs w:val="24"/>
        </w:rPr>
        <w:t>their</w:t>
      </w:r>
      <w:r w:rsidRPr="002C3B0A">
        <w:rPr>
          <w:rFonts w:ascii="Times New Roman" w:hAnsi="Times New Roman" w:cs="Times New Roman"/>
          <w:sz w:val="24"/>
          <w:szCs w:val="24"/>
        </w:rPr>
        <w:t xml:space="preserve"> people who need help and many people are moved by doing charitable works or being part of it.</w:t>
      </w:r>
    </w:p>
    <w:p w:rsidR="002C3B0A" w:rsidRPr="002C3B0A" w:rsidRDefault="002C3B0A" w:rsidP="005104C9">
      <w:pPr>
        <w:spacing w:line="480" w:lineRule="auto"/>
        <w:rPr>
          <w:rFonts w:ascii="Times New Roman" w:hAnsi="Times New Roman" w:cs="Times New Roman"/>
          <w:sz w:val="24"/>
          <w:szCs w:val="24"/>
        </w:rPr>
      </w:pPr>
    </w:p>
    <w:p w:rsidR="002C3B0A" w:rsidRPr="002C3B0A" w:rsidRDefault="002C3B0A" w:rsidP="005104C9">
      <w:pPr>
        <w:spacing w:line="480" w:lineRule="auto"/>
        <w:rPr>
          <w:rFonts w:ascii="Times New Roman" w:hAnsi="Times New Roman" w:cs="Times New Roman"/>
          <w:sz w:val="24"/>
          <w:szCs w:val="24"/>
        </w:rPr>
      </w:pPr>
    </w:p>
    <w:p w:rsidR="005104C9" w:rsidRDefault="005104C9" w:rsidP="005104C9">
      <w:pPr>
        <w:jc w:val="center"/>
        <w:rPr>
          <w:rFonts w:ascii="Times New Roman" w:hAnsi="Times New Roman" w:cs="Times New Roman"/>
          <w:sz w:val="24"/>
          <w:szCs w:val="24"/>
        </w:rPr>
      </w:pPr>
    </w:p>
    <w:p w:rsidR="005104C9" w:rsidRDefault="005104C9" w:rsidP="005104C9">
      <w:pPr>
        <w:jc w:val="center"/>
        <w:rPr>
          <w:rFonts w:ascii="Times New Roman" w:hAnsi="Times New Roman" w:cs="Times New Roman"/>
          <w:sz w:val="24"/>
          <w:szCs w:val="24"/>
        </w:rPr>
      </w:pPr>
    </w:p>
    <w:p w:rsidR="005104C9" w:rsidRDefault="005104C9" w:rsidP="005104C9">
      <w:pPr>
        <w:jc w:val="center"/>
        <w:rPr>
          <w:rFonts w:ascii="Times New Roman" w:hAnsi="Times New Roman" w:cs="Times New Roman"/>
          <w:sz w:val="24"/>
          <w:szCs w:val="24"/>
        </w:rPr>
      </w:pPr>
    </w:p>
    <w:p w:rsidR="005104C9" w:rsidRDefault="005104C9" w:rsidP="005104C9">
      <w:pPr>
        <w:jc w:val="center"/>
        <w:rPr>
          <w:rFonts w:ascii="Times New Roman" w:hAnsi="Times New Roman" w:cs="Times New Roman"/>
          <w:sz w:val="24"/>
          <w:szCs w:val="24"/>
        </w:rPr>
      </w:pPr>
    </w:p>
    <w:p w:rsidR="005104C9" w:rsidRDefault="005104C9" w:rsidP="005104C9">
      <w:pPr>
        <w:jc w:val="center"/>
        <w:rPr>
          <w:rFonts w:ascii="Times New Roman" w:hAnsi="Times New Roman" w:cs="Times New Roman"/>
          <w:sz w:val="24"/>
          <w:szCs w:val="24"/>
        </w:rPr>
      </w:pPr>
    </w:p>
    <w:p w:rsidR="005104C9" w:rsidRDefault="005104C9" w:rsidP="005104C9">
      <w:pPr>
        <w:jc w:val="center"/>
        <w:rPr>
          <w:rFonts w:ascii="Times New Roman" w:hAnsi="Times New Roman" w:cs="Times New Roman"/>
          <w:sz w:val="24"/>
          <w:szCs w:val="24"/>
        </w:rPr>
      </w:pPr>
    </w:p>
    <w:p w:rsidR="005104C9" w:rsidRDefault="005104C9" w:rsidP="005104C9">
      <w:pPr>
        <w:jc w:val="center"/>
        <w:rPr>
          <w:rFonts w:ascii="Times New Roman" w:hAnsi="Times New Roman" w:cs="Times New Roman"/>
          <w:sz w:val="24"/>
          <w:szCs w:val="24"/>
        </w:rPr>
      </w:pPr>
    </w:p>
    <w:p w:rsidR="002C3B0A" w:rsidRPr="002C3B0A" w:rsidRDefault="005104C9" w:rsidP="005104C9">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C1781" w:rsidRPr="005104C9" w:rsidRDefault="002C3B0A" w:rsidP="00873F51">
      <w:pPr>
        <w:ind w:left="720" w:hanging="720"/>
        <w:rPr>
          <w:rFonts w:ascii="Times New Roman" w:hAnsi="Times New Roman" w:cs="Times New Roman"/>
          <w:color w:val="222222"/>
          <w:sz w:val="24"/>
          <w:szCs w:val="24"/>
          <w:shd w:val="clear" w:color="auto" w:fill="FFFFFF"/>
        </w:rPr>
      </w:pPr>
      <w:r w:rsidRPr="005104C9">
        <w:rPr>
          <w:rFonts w:ascii="Times New Roman" w:hAnsi="Times New Roman" w:cs="Times New Roman"/>
          <w:color w:val="222222"/>
          <w:sz w:val="24"/>
          <w:szCs w:val="24"/>
          <w:shd w:val="clear" w:color="auto" w:fill="FFFFFF"/>
        </w:rPr>
        <w:t>Brickley, J. A., &amp; Van Horn, R. L. (2002). Managerial incentives in nonprofit organizations: Evidence from hospitals. </w:t>
      </w:r>
      <w:r w:rsidRPr="005104C9">
        <w:rPr>
          <w:rFonts w:ascii="Times New Roman" w:hAnsi="Times New Roman" w:cs="Times New Roman"/>
          <w:i/>
          <w:iCs/>
          <w:color w:val="222222"/>
          <w:sz w:val="24"/>
          <w:szCs w:val="24"/>
          <w:shd w:val="clear" w:color="auto" w:fill="FFFFFF"/>
        </w:rPr>
        <w:t>The Journal of Law and Economics</w:t>
      </w:r>
      <w:r w:rsidRPr="005104C9">
        <w:rPr>
          <w:rFonts w:ascii="Times New Roman" w:hAnsi="Times New Roman" w:cs="Times New Roman"/>
          <w:color w:val="222222"/>
          <w:sz w:val="24"/>
          <w:szCs w:val="24"/>
          <w:shd w:val="clear" w:color="auto" w:fill="FFFFFF"/>
        </w:rPr>
        <w:t>, </w:t>
      </w:r>
      <w:r w:rsidRPr="005104C9">
        <w:rPr>
          <w:rFonts w:ascii="Times New Roman" w:hAnsi="Times New Roman" w:cs="Times New Roman"/>
          <w:i/>
          <w:iCs/>
          <w:color w:val="222222"/>
          <w:sz w:val="24"/>
          <w:szCs w:val="24"/>
          <w:shd w:val="clear" w:color="auto" w:fill="FFFFFF"/>
        </w:rPr>
        <w:t>45</w:t>
      </w:r>
      <w:r w:rsidRPr="005104C9">
        <w:rPr>
          <w:rFonts w:ascii="Times New Roman" w:hAnsi="Times New Roman" w:cs="Times New Roman"/>
          <w:color w:val="222222"/>
          <w:sz w:val="24"/>
          <w:szCs w:val="24"/>
          <w:shd w:val="clear" w:color="auto" w:fill="FFFFFF"/>
        </w:rPr>
        <w:t>(1), 227-249.</w:t>
      </w:r>
    </w:p>
    <w:p w:rsidR="005104C9" w:rsidRPr="005104C9" w:rsidRDefault="005104C9" w:rsidP="00873F51">
      <w:pPr>
        <w:ind w:left="720" w:hanging="720"/>
        <w:rPr>
          <w:rFonts w:ascii="Times New Roman" w:hAnsi="Times New Roman" w:cs="Times New Roman"/>
          <w:sz w:val="24"/>
          <w:szCs w:val="24"/>
        </w:rPr>
      </w:pPr>
      <w:r w:rsidRPr="005104C9">
        <w:rPr>
          <w:rFonts w:ascii="Times New Roman" w:hAnsi="Times New Roman" w:cs="Times New Roman"/>
          <w:color w:val="222222"/>
          <w:sz w:val="24"/>
          <w:szCs w:val="24"/>
          <w:shd w:val="clear" w:color="auto" w:fill="FFFFFF"/>
        </w:rPr>
        <w:t>Ortmann, A., &amp; Schlesinger, M. (2003). Trust, repute, and the role of nonprofit enterprise. In </w:t>
      </w:r>
      <w:r w:rsidRPr="005104C9">
        <w:rPr>
          <w:rFonts w:ascii="Times New Roman" w:hAnsi="Times New Roman" w:cs="Times New Roman"/>
          <w:i/>
          <w:iCs/>
          <w:color w:val="222222"/>
          <w:sz w:val="24"/>
          <w:szCs w:val="24"/>
          <w:shd w:val="clear" w:color="auto" w:fill="FFFFFF"/>
        </w:rPr>
        <w:t>The study of the nonprofit enterprise</w:t>
      </w:r>
      <w:r w:rsidRPr="005104C9">
        <w:rPr>
          <w:rFonts w:ascii="Times New Roman" w:hAnsi="Times New Roman" w:cs="Times New Roman"/>
          <w:color w:val="222222"/>
          <w:sz w:val="24"/>
          <w:szCs w:val="24"/>
          <w:shd w:val="clear" w:color="auto" w:fill="FFFFFF"/>
        </w:rPr>
        <w:t> (pp. 77-114). Springe</w:t>
      </w:r>
      <w:bookmarkStart w:id="0" w:name="_GoBack"/>
      <w:bookmarkEnd w:id="0"/>
      <w:r w:rsidRPr="005104C9">
        <w:rPr>
          <w:rFonts w:ascii="Times New Roman" w:hAnsi="Times New Roman" w:cs="Times New Roman"/>
          <w:color w:val="222222"/>
          <w:sz w:val="24"/>
          <w:szCs w:val="24"/>
          <w:shd w:val="clear" w:color="auto" w:fill="FFFFFF"/>
        </w:rPr>
        <w:t>r, Boston, MA.</w:t>
      </w:r>
    </w:p>
    <w:sectPr w:rsidR="005104C9" w:rsidRPr="005104C9" w:rsidSect="00B7430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419" w:rsidRDefault="00534419" w:rsidP="00B068C6">
      <w:pPr>
        <w:spacing w:after="0" w:line="240" w:lineRule="auto"/>
      </w:pPr>
      <w:r>
        <w:separator/>
      </w:r>
    </w:p>
  </w:endnote>
  <w:endnote w:type="continuationSeparator" w:id="0">
    <w:p w:rsidR="00534419" w:rsidRDefault="00534419" w:rsidP="00B068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419" w:rsidRDefault="00534419" w:rsidP="00B068C6">
      <w:pPr>
        <w:spacing w:after="0" w:line="240" w:lineRule="auto"/>
      </w:pPr>
      <w:r>
        <w:separator/>
      </w:r>
    </w:p>
  </w:footnote>
  <w:footnote w:type="continuationSeparator" w:id="0">
    <w:p w:rsidR="00534419" w:rsidRDefault="00534419" w:rsidP="00B068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30F" w:rsidRPr="001C6773" w:rsidRDefault="00B7430F">
    <w:pPr>
      <w:pStyle w:val="Header"/>
      <w:jc w:val="right"/>
      <w:rPr>
        <w:rFonts w:ascii="Times New Roman" w:hAnsi="Times New Roman" w:cs="Times New Roman"/>
        <w:sz w:val="24"/>
        <w:szCs w:val="24"/>
      </w:rPr>
    </w:pPr>
    <w:r w:rsidRPr="001C6773">
      <w:rPr>
        <w:rFonts w:ascii="Times New Roman" w:hAnsi="Times New Roman" w:cs="Times New Roman"/>
        <w:sz w:val="24"/>
        <w:szCs w:val="24"/>
      </w:rPr>
      <w:t>NON PROFIT INCENTIVES</w:t>
    </w:r>
    <w:r w:rsidRPr="001C6773">
      <w:rPr>
        <w:rFonts w:ascii="Times New Roman" w:hAnsi="Times New Roman" w:cs="Times New Roman"/>
        <w:sz w:val="24"/>
        <w:szCs w:val="24"/>
      </w:rPr>
      <w:tab/>
    </w:r>
    <w:r w:rsidRPr="001C6773">
      <w:rPr>
        <w:rFonts w:ascii="Times New Roman" w:hAnsi="Times New Roman" w:cs="Times New Roman"/>
        <w:sz w:val="24"/>
        <w:szCs w:val="24"/>
      </w:rPr>
      <w:tab/>
    </w:r>
    <w:sdt>
      <w:sdtPr>
        <w:rPr>
          <w:rFonts w:ascii="Times New Roman" w:hAnsi="Times New Roman" w:cs="Times New Roman"/>
          <w:sz w:val="24"/>
          <w:szCs w:val="24"/>
        </w:rPr>
        <w:id w:val="-2021461970"/>
        <w:docPartObj>
          <w:docPartGallery w:val="Page Numbers (Top of Page)"/>
          <w:docPartUnique/>
        </w:docPartObj>
      </w:sdtPr>
      <w:sdtEndPr>
        <w:rPr>
          <w:noProof/>
        </w:rPr>
      </w:sdtEndPr>
      <w:sdtContent>
        <w:r w:rsidRPr="001C6773">
          <w:rPr>
            <w:rFonts w:ascii="Times New Roman" w:hAnsi="Times New Roman" w:cs="Times New Roman"/>
            <w:sz w:val="24"/>
            <w:szCs w:val="24"/>
          </w:rPr>
          <w:fldChar w:fldCharType="begin"/>
        </w:r>
        <w:r w:rsidRPr="001C6773">
          <w:rPr>
            <w:rFonts w:ascii="Times New Roman" w:hAnsi="Times New Roman" w:cs="Times New Roman"/>
            <w:sz w:val="24"/>
            <w:szCs w:val="24"/>
          </w:rPr>
          <w:instrText xml:space="preserve"> PAGE   \* MERGEFORMAT </w:instrText>
        </w:r>
        <w:r w:rsidRPr="001C6773">
          <w:rPr>
            <w:rFonts w:ascii="Times New Roman" w:hAnsi="Times New Roman" w:cs="Times New Roman"/>
            <w:sz w:val="24"/>
            <w:szCs w:val="24"/>
          </w:rPr>
          <w:fldChar w:fldCharType="separate"/>
        </w:r>
        <w:r w:rsidR="00873F51">
          <w:rPr>
            <w:rFonts w:ascii="Times New Roman" w:hAnsi="Times New Roman" w:cs="Times New Roman"/>
            <w:noProof/>
            <w:sz w:val="24"/>
            <w:szCs w:val="24"/>
          </w:rPr>
          <w:t>4</w:t>
        </w:r>
        <w:r w:rsidRPr="001C6773">
          <w:rPr>
            <w:rFonts w:ascii="Times New Roman" w:hAnsi="Times New Roman" w:cs="Times New Roman"/>
            <w:noProof/>
            <w:sz w:val="24"/>
            <w:szCs w:val="24"/>
          </w:rPr>
          <w:fldChar w:fldCharType="end"/>
        </w:r>
      </w:sdtContent>
    </w:sdt>
  </w:p>
  <w:p w:rsidR="00B068C6" w:rsidRPr="001C6773" w:rsidRDefault="00B068C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30F" w:rsidRPr="00B7430F" w:rsidRDefault="00B7430F">
    <w:pPr>
      <w:pStyle w:val="Header"/>
      <w:jc w:val="right"/>
      <w:rPr>
        <w:rFonts w:ascii="Times New Roman" w:hAnsi="Times New Roman" w:cs="Times New Roman"/>
        <w:sz w:val="24"/>
        <w:szCs w:val="24"/>
      </w:rPr>
    </w:pPr>
    <w:r w:rsidRPr="00B7430F">
      <w:rPr>
        <w:rFonts w:ascii="Times New Roman" w:hAnsi="Times New Roman" w:cs="Times New Roman"/>
        <w:sz w:val="24"/>
        <w:szCs w:val="24"/>
      </w:rPr>
      <w:t>Running Head: NON PROFIT INCENTIVES</w:t>
    </w:r>
    <w:r w:rsidRPr="00B7430F">
      <w:rPr>
        <w:rFonts w:ascii="Times New Roman" w:hAnsi="Times New Roman" w:cs="Times New Roman"/>
        <w:sz w:val="24"/>
        <w:szCs w:val="24"/>
      </w:rPr>
      <w:tab/>
    </w:r>
    <w:r w:rsidRPr="00B7430F">
      <w:rPr>
        <w:rFonts w:ascii="Times New Roman" w:hAnsi="Times New Roman" w:cs="Times New Roman"/>
        <w:sz w:val="24"/>
        <w:szCs w:val="24"/>
      </w:rPr>
      <w:tab/>
    </w:r>
    <w:sdt>
      <w:sdtPr>
        <w:rPr>
          <w:rFonts w:ascii="Times New Roman" w:hAnsi="Times New Roman" w:cs="Times New Roman"/>
          <w:sz w:val="24"/>
          <w:szCs w:val="24"/>
        </w:rPr>
        <w:id w:val="-1810077607"/>
        <w:docPartObj>
          <w:docPartGallery w:val="Page Numbers (Top of Page)"/>
          <w:docPartUnique/>
        </w:docPartObj>
      </w:sdtPr>
      <w:sdtEndPr>
        <w:rPr>
          <w:noProof/>
        </w:rPr>
      </w:sdtEndPr>
      <w:sdtContent>
        <w:r w:rsidRPr="00B7430F">
          <w:rPr>
            <w:rFonts w:ascii="Times New Roman" w:hAnsi="Times New Roman" w:cs="Times New Roman"/>
            <w:sz w:val="24"/>
            <w:szCs w:val="24"/>
          </w:rPr>
          <w:fldChar w:fldCharType="begin"/>
        </w:r>
        <w:r w:rsidRPr="00B7430F">
          <w:rPr>
            <w:rFonts w:ascii="Times New Roman" w:hAnsi="Times New Roman" w:cs="Times New Roman"/>
            <w:sz w:val="24"/>
            <w:szCs w:val="24"/>
          </w:rPr>
          <w:instrText xml:space="preserve"> PAGE   \* MERGEFORMAT </w:instrText>
        </w:r>
        <w:r w:rsidRPr="00B7430F">
          <w:rPr>
            <w:rFonts w:ascii="Times New Roman" w:hAnsi="Times New Roman" w:cs="Times New Roman"/>
            <w:sz w:val="24"/>
            <w:szCs w:val="24"/>
          </w:rPr>
          <w:fldChar w:fldCharType="separate"/>
        </w:r>
        <w:r w:rsidR="00873F51">
          <w:rPr>
            <w:rFonts w:ascii="Times New Roman" w:hAnsi="Times New Roman" w:cs="Times New Roman"/>
            <w:noProof/>
            <w:sz w:val="24"/>
            <w:szCs w:val="24"/>
          </w:rPr>
          <w:t>1</w:t>
        </w:r>
        <w:r w:rsidRPr="00B7430F">
          <w:rPr>
            <w:rFonts w:ascii="Times New Roman" w:hAnsi="Times New Roman" w:cs="Times New Roman"/>
            <w:noProof/>
            <w:sz w:val="24"/>
            <w:szCs w:val="24"/>
          </w:rPr>
          <w:fldChar w:fldCharType="end"/>
        </w:r>
      </w:sdtContent>
    </w:sdt>
  </w:p>
  <w:p w:rsidR="005104C9" w:rsidRPr="00B7430F" w:rsidRDefault="005104C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BF2"/>
    <w:rsid w:val="000A6B28"/>
    <w:rsid w:val="001C6773"/>
    <w:rsid w:val="00214DDF"/>
    <w:rsid w:val="002C3B0A"/>
    <w:rsid w:val="00411451"/>
    <w:rsid w:val="004F2A52"/>
    <w:rsid w:val="005104C9"/>
    <w:rsid w:val="00534419"/>
    <w:rsid w:val="0060021A"/>
    <w:rsid w:val="006675A3"/>
    <w:rsid w:val="007A0F28"/>
    <w:rsid w:val="00816257"/>
    <w:rsid w:val="00873F51"/>
    <w:rsid w:val="008C1781"/>
    <w:rsid w:val="00A83204"/>
    <w:rsid w:val="00AF227F"/>
    <w:rsid w:val="00B068C6"/>
    <w:rsid w:val="00B521A7"/>
    <w:rsid w:val="00B7430F"/>
    <w:rsid w:val="00B84D02"/>
    <w:rsid w:val="00BD3174"/>
    <w:rsid w:val="00BE7F8A"/>
    <w:rsid w:val="00C05533"/>
    <w:rsid w:val="00C90E97"/>
    <w:rsid w:val="00CB15B3"/>
    <w:rsid w:val="00E539B7"/>
    <w:rsid w:val="00FD3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BC21F1-C086-4853-9D56-4F715426E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68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8C6"/>
  </w:style>
  <w:style w:type="paragraph" w:styleId="Footer">
    <w:name w:val="footer"/>
    <w:basedOn w:val="Normal"/>
    <w:link w:val="FooterChar"/>
    <w:uiPriority w:val="99"/>
    <w:unhideWhenUsed/>
    <w:rsid w:val="00B068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8C6"/>
  </w:style>
  <w:style w:type="paragraph" w:styleId="BalloonText">
    <w:name w:val="Balloon Text"/>
    <w:basedOn w:val="Normal"/>
    <w:link w:val="BalloonTextChar"/>
    <w:uiPriority w:val="99"/>
    <w:semiHidden/>
    <w:unhideWhenUsed/>
    <w:rsid w:val="00B068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68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1486-1F0C-4D60-A788-79FFA33B3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fredie kimani</dc:creator>
  <cp:lastModifiedBy>USER</cp:lastModifiedBy>
  <cp:revision>2</cp:revision>
  <dcterms:created xsi:type="dcterms:W3CDTF">2021-02-06T06:50:00Z</dcterms:created>
  <dcterms:modified xsi:type="dcterms:W3CDTF">2021-02-06T06:50:00Z</dcterms:modified>
</cp:coreProperties>
</file>